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AC3681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7777777" w:rsidR="00D06E33" w:rsidRDefault="00087810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3E65E691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აკად. ბ.ნანეიშვილის სახელობის ფსიქიკური ჯანმრთელობის ეროვნული ცენტრი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ლების დატვირთვის მაჩვენებლები. აღნიშნულ პერიოდში  ცენტრში საშუალოდ იმყოფებოდა 700-720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250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დამტკიცდა  „</w:t>
      </w:r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63B3F39A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</w:t>
      </w:r>
      <w:r w:rsidR="00460E48" w:rsidRPr="008366BB">
        <w:rPr>
          <w:rFonts w:ascii="Sylfaen" w:hAnsi="Sylfaen" w:cs="Sylfaen"/>
          <w:bCs/>
          <w:lang w:val="ka-GE"/>
        </w:rPr>
        <w:lastRenderedPageBreak/>
        <w:t xml:space="preserve">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>, ასევე, საერთაშორისო გამოცდილებამ, რომ დეინსტიტუციონალიზაცია რთული  და ხანგრძლივვადიანი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5998391B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04563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19D336E0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</w:t>
      </w:r>
      <w:r>
        <w:rPr>
          <w:rFonts w:ascii="Sylfaen" w:hAnsi="Sylfaen" w:cs="Sylfaen"/>
          <w:lang w:val="ka-GE"/>
        </w:rPr>
        <w:lastRenderedPageBreak/>
        <w:t xml:space="preserve">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7289CC44" w14:textId="4EBE4AC0" w:rsidR="00460E48" w:rsidRPr="00DF67AD" w:rsidRDefault="005F2B49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52A00B5B" w:rsidR="00460E48" w:rsidRPr="00D06E33" w:rsidRDefault="00460E48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ხელშეკრულების</w:t>
      </w:r>
      <w:r w:rsidR="00502C05" w:rsidRPr="00D06E33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 w:rsidRPr="00D06E33">
        <w:rPr>
          <w:rFonts w:ascii="Sylfaen" w:hAnsi="Sylfaen" w:cs="Sylfaen"/>
          <w:bCs/>
          <w:lang w:val="ka-GE"/>
        </w:rPr>
        <w:t xml:space="preserve">3.1.1. </w:t>
      </w:r>
      <w:r w:rsidR="00502C05" w:rsidRPr="00D06E33">
        <w:rPr>
          <w:rFonts w:ascii="Sylfaen" w:hAnsi="Sylfaen" w:cs="Sylfaen"/>
          <w:bCs/>
          <w:lang w:val="ka-GE"/>
        </w:rPr>
        <w:t>ქვეპუნქ</w:t>
      </w:r>
      <w:r w:rsidR="00FB36D6" w:rsidRPr="00D06E33">
        <w:rPr>
          <w:rFonts w:ascii="Sylfaen" w:hAnsi="Sylfaen" w:cs="Sylfaen"/>
          <w:bCs/>
          <w:lang w:val="ka-GE"/>
        </w:rPr>
        <w:t>ტ</w:t>
      </w:r>
      <w:r w:rsidR="00502C05" w:rsidRPr="00D06E33">
        <w:rPr>
          <w:rFonts w:ascii="Sylfaen" w:hAnsi="Sylfaen" w:cs="Sylfaen"/>
          <w:bCs/>
          <w:lang w:val="ka-GE"/>
        </w:rPr>
        <w:t xml:space="preserve">ში  </w:t>
      </w:r>
      <w:r w:rsidRPr="00D06E33"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01A8E4C5" w14:textId="2C4959EA" w:rsidR="006B3614" w:rsidRPr="00D06E33" w:rsidRDefault="00D06E33" w:rsidP="00D06E3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</w:rPr>
        <w:t>“</w:t>
      </w:r>
      <w:r w:rsidR="006B3614" w:rsidRPr="00D06E33">
        <w:rPr>
          <w:rFonts w:ascii="Sylfaen" w:hAnsi="Sylfaen" w:cs="Sylfaen"/>
          <w:bCs/>
          <w:lang w:val="ka-GE"/>
        </w:rPr>
        <w:t xml:space="preserve">3.1.1. </w:t>
      </w:r>
      <w:proofErr w:type="gramStart"/>
      <w:r w:rsidR="006B3614" w:rsidRPr="00D06E33">
        <w:rPr>
          <w:rFonts w:ascii="Sylfaen" w:hAnsi="Sylfaen" w:cs="Sylfaen"/>
          <w:bCs/>
          <w:lang w:val="ka-GE"/>
        </w:rPr>
        <w:t>ხელშეკრულების</w:t>
      </w:r>
      <w:proofErr w:type="gramEnd"/>
      <w:r w:rsidR="006B3614" w:rsidRPr="00D06E33">
        <w:rPr>
          <w:rFonts w:ascii="Sylfaen" w:hAnsi="Sylfaen" w:cs="Sylfaen"/>
          <w:bCs/>
          <w:lang w:val="ka-GE"/>
        </w:rPr>
        <w:t xml:space="preserve"> დადებიდან, 2022 წლის 1 ივლისამდე </w:t>
      </w:r>
      <w:proofErr w:type="spellStart"/>
      <w:r w:rsidR="006B3614" w:rsidRPr="00D06E33">
        <w:rPr>
          <w:rFonts w:ascii="Sylfaen" w:hAnsi="Sylfaen" w:cs="Sylfaen"/>
          <w:bCs/>
        </w:rPr>
        <w:t>პირადად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ან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მესამე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პირის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მეშვეობით</w:t>
      </w:r>
      <w:proofErr w:type="spellEnd"/>
      <w:r w:rsidR="006B3614" w:rsidRPr="00D06E33">
        <w:rPr>
          <w:rFonts w:ascii="Sylfaen" w:hAnsi="Sylfaen" w:cs="Sylfaen"/>
          <w:bCs/>
          <w:lang w:val="ka-GE"/>
        </w:rPr>
        <w:t xml:space="preserve"> უზრუნველყოს:</w:t>
      </w:r>
    </w:p>
    <w:p w14:paraId="5604051A" w14:textId="4D3D2E18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ა),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34675B">
        <w:rPr>
          <w:rFonts w:ascii="Sylfaen" w:hAnsi="Sylfaen" w:cs="Sylfaen"/>
          <w:bCs/>
          <w:lang w:val="ka-GE"/>
        </w:rPr>
        <w:t xml:space="preserve">(შემდგომში „ქონება“) </w:t>
      </w:r>
      <w:r w:rsidRPr="0034675B">
        <w:rPr>
          <w:rFonts w:ascii="Sylfaen" w:hAnsi="Sylfaen" w:cs="Sylfaen"/>
          <w:bCs/>
          <w:lang w:val="ka-GE"/>
        </w:rPr>
        <w:t>არანაკლებ</w:t>
      </w:r>
      <w:r w:rsidRPr="00D06E33">
        <w:rPr>
          <w:rFonts w:ascii="Sylfaen" w:hAnsi="Sylfaen" w:cs="Sylfaen"/>
          <w:bCs/>
          <w:lang w:val="ka-GE"/>
        </w:rPr>
        <w:t xml:space="preserve"> 45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Pr="00D06E33">
        <w:rPr>
          <w:rFonts w:ascii="Sylfaen" w:eastAsia="Calibri" w:hAnsi="Sylfaen" w:cs="Arial"/>
          <w:lang w:val="ka-GE"/>
        </w:rPr>
        <w:t xml:space="preserve"> კანონმდებლობით გათვალისწინებულ შემთხვევაში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Pr="00D06E33">
        <w:rPr>
          <w:rFonts w:ascii="Sylfaen" w:hAnsi="Sylfaen" w:cs="Sylfaen"/>
          <w:bCs/>
          <w:lang w:val="ka-GE"/>
        </w:rPr>
        <w:t xml:space="preserve"> </w:t>
      </w:r>
    </w:p>
    <w:p w14:paraId="73449A3F" w14:textId="77777777" w:rsidR="006B3614" w:rsidRPr="00D06E33" w:rsidRDefault="006B3614" w:rsidP="00D06E33">
      <w:pPr>
        <w:pStyle w:val="ListParagraph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  <w:lang w:val="ka-GE"/>
        </w:rPr>
      </w:pPr>
    </w:p>
    <w:p w14:paraId="501DC17F" w14:textId="77777777" w:rsidR="00D25E2C" w:rsidRPr="00D06E33" w:rsidRDefault="00DF3C85" w:rsidP="00D06E33">
      <w:pPr>
        <w:pStyle w:val="CommentText"/>
        <w:spacing w:after="0" w:line="276" w:lineRule="auto"/>
        <w:ind w:left="360"/>
        <w:rPr>
          <w:rFonts w:ascii="Sylfaen" w:hAnsi="Sylfaen"/>
          <w:sz w:val="22"/>
          <w:szCs w:val="22"/>
          <w:lang w:val="ka-GE"/>
        </w:rPr>
      </w:pPr>
      <w:r w:rsidRPr="00D06E33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D06E33">
        <w:rPr>
          <w:rFonts w:ascii="Sylfaen" w:hAnsi="Sylfaen" w:cs="Sylfaen"/>
          <w:bCs/>
          <w:sz w:val="22"/>
          <w:szCs w:val="22"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sz w:val="22"/>
          <w:szCs w:val="22"/>
          <w:lang w:val="ka-GE"/>
        </w:rPr>
        <w:t xml:space="preserve">) </w:t>
      </w:r>
      <w:commentRangeStart w:id="0"/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>2019 წლის 31 დეკემბრამდე, #37.10.33.011 საკადასტრო კოდით რეგისტრირებულ №-, №--... (აქ ჩაიწერება შესაბამისი ნაგებობების საჯარო რეესტრში რეგისტრაციის ნომრები) სარემონტო/სარეაბილიტაციო სამუშაოების ჩატარება“.</w:t>
      </w:r>
      <w:commentRangeEnd w:id="0"/>
      <w:r w:rsidR="00987140">
        <w:rPr>
          <w:rStyle w:val="CommentReference"/>
        </w:rPr>
        <w:commentReference w:id="0"/>
      </w:r>
    </w:p>
    <w:p w14:paraId="2A11C779" w14:textId="44A56896" w:rsidR="00DF3C85" w:rsidRPr="00D06E33" w:rsidRDefault="00DF3C85" w:rsidP="00D06E33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  <w:bCs/>
          <w:lang w:val="ka-GE"/>
        </w:rPr>
      </w:pPr>
    </w:p>
    <w:p w14:paraId="29DE60FE" w14:textId="18AA246D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ბ)</w:t>
      </w:r>
      <w:r w:rsidR="00DF3C85" w:rsidRPr="00D06E33">
        <w:rPr>
          <w:rFonts w:ascii="Sylfaen" w:hAnsi="Sylfaen" w:cs="Sylfaen"/>
          <w:bCs/>
          <w:lang w:val="ka-GE"/>
        </w:rPr>
        <w:t xml:space="preserve"> 2022 წლის 1 ივლისამდე</w:t>
      </w:r>
      <w:r w:rsidRPr="00D06E33">
        <w:rPr>
          <w:rFonts w:ascii="Sylfaen" w:hAnsi="Sylfaen" w:cs="Sylfaen"/>
          <w:bCs/>
          <w:lang w:val="ka-GE"/>
        </w:rPr>
        <w:t xml:space="preserve"> ქუთაისში 2 (ორი), ფოთში 1 (ერთი), სენაკში 1 (ერთი), ჯამში </w:t>
      </w:r>
      <w:r w:rsidRPr="00D06E33"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06E33">
        <w:rPr>
          <w:rFonts w:ascii="Sylfaen" w:hAnsi="Sylfaen" w:cs="Sylfaen"/>
          <w:bCs/>
          <w:lang w:val="ka-GE"/>
        </w:rPr>
        <w:t xml:space="preserve"> 4 (ოთხი) (თითოეული არაუმეტეს 2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ბენეფიციარზე გათვლილი) საცხოვრისის  შექმნის მიზნით სამშენებლო/სარეკონსტრუქციო სამუშაოების განხორციელება, </w:t>
      </w:r>
      <w:r w:rsidRPr="00D06E33">
        <w:rPr>
          <w:rFonts w:ascii="Sylfaen" w:eastAsia="Calibri" w:hAnsi="Sylfaen" w:cs="Arial"/>
          <w:lang w:val="ka-GE"/>
        </w:rPr>
        <w:t xml:space="preserve">კანონმდებლობით გათვალისწინებულ შემთხვევებში, შესაბამისი შენობა-ნაგებობ(ებ)ის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</w:p>
    <w:p w14:paraId="540154D6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</w:rPr>
      </w:pPr>
    </w:p>
    <w:p w14:paraId="533BBEB9" w14:textId="576DB1C2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lang w:val="ka-GE"/>
        </w:rPr>
        <w:t>ბ</w:t>
      </w:r>
      <w:r w:rsidR="00DF3C85" w:rsidRPr="00D06E33">
        <w:rPr>
          <w:rFonts w:ascii="Sylfaen" w:hAnsi="Sylfaen" w:cs="Sylfaen"/>
          <w:vertAlign w:val="superscript"/>
          <w:lang w:val="ka-GE"/>
        </w:rPr>
        <w:t>1</w:t>
      </w:r>
      <w:r w:rsidRPr="00D06E33">
        <w:rPr>
          <w:rFonts w:ascii="Sylfaen" w:hAnsi="Sylfaen" w:cs="Sylfaen"/>
          <w:lang w:val="ka-GE"/>
        </w:rPr>
        <w:t xml:space="preserve">) </w:t>
      </w:r>
      <w:r w:rsidRPr="00D06E33">
        <w:rPr>
          <w:rFonts w:ascii="Sylfaen" w:hAnsi="Sylfaen" w:cs="Sylfaen"/>
          <w:bCs/>
          <w:lang w:val="ka-GE"/>
        </w:rPr>
        <w:t>2019 წლის 31 დეკემბრამდე ბ.ა პუნქტში აღნიშნულ 4 ლოკაციაზე (ქუთაისი 2, სენაკი 1, ფოთი 1) უძრავი ქონებების შეძენა და შეძენის დამადასტურებელი შესაბამისი დოკუმენტაციის სააგენტოში წარმოდგენა.</w:t>
      </w:r>
    </w:p>
    <w:p w14:paraId="36109FDE" w14:textId="2931DDBB" w:rsidR="006B3614" w:rsidRPr="00D06E33" w:rsidRDefault="00037E05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  <w:r w:rsidRPr="00D06E33">
        <w:rPr>
          <w:rFonts w:ascii="Sylfaen" w:hAnsi="Sylfaen" w:cs="Sylfaen"/>
          <w:bCs/>
          <w:lang w:val="ka-GE"/>
        </w:rPr>
        <w:lastRenderedPageBreak/>
        <w:t xml:space="preserve">დ) </w:t>
      </w:r>
      <w:r w:rsidR="006B3614" w:rsidRPr="00D06E33">
        <w:rPr>
          <w:rFonts w:ascii="Sylfaen" w:hAnsi="Sylfaen" w:cs="Sylfaen"/>
          <w:bCs/>
          <w:lang w:val="ka-GE"/>
        </w:rPr>
        <w:t>ხელშეკრულების 3.1.1. მუხლის „ა“</w:t>
      </w:r>
      <w:r w:rsidRPr="00D06E33">
        <w:rPr>
          <w:rFonts w:ascii="Sylfaen" w:hAnsi="Sylfaen" w:cs="Sylfaen"/>
          <w:bCs/>
          <w:lang w:val="ka-GE"/>
        </w:rPr>
        <w:t>,</w:t>
      </w:r>
      <w:r w:rsidR="00132D7F" w:rsidRPr="00D06E33">
        <w:rPr>
          <w:rFonts w:ascii="Sylfaen" w:hAnsi="Sylfaen" w:cs="Sylfaen"/>
          <w:bCs/>
          <w:lang w:val="ka-GE"/>
        </w:rPr>
        <w:t>“ა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1“,</w:t>
      </w:r>
      <w:r w:rsidR="00132D7F" w:rsidRPr="00D06E33">
        <w:rPr>
          <w:rFonts w:ascii="Sylfaen" w:hAnsi="Sylfaen" w:cs="Sylfaen"/>
          <w:bCs/>
          <w:lang w:val="ka-GE"/>
        </w:rPr>
        <w:t>,</w:t>
      </w:r>
      <w:r w:rsidR="006B3614" w:rsidRPr="00D06E33">
        <w:rPr>
          <w:rFonts w:ascii="Sylfaen" w:hAnsi="Sylfaen" w:cs="Sylfaen"/>
          <w:bCs/>
          <w:lang w:val="ka-GE"/>
        </w:rPr>
        <w:t xml:space="preserve"> „ბ“ </w:t>
      </w:r>
      <w:r w:rsidRPr="00D06E33">
        <w:rPr>
          <w:rFonts w:ascii="Sylfaen" w:hAnsi="Sylfaen" w:cs="Sylfaen"/>
          <w:bCs/>
          <w:lang w:val="ka-GE"/>
        </w:rPr>
        <w:t>და „</w:t>
      </w:r>
      <w:r w:rsidR="00132D7F" w:rsidRPr="00D06E33">
        <w:rPr>
          <w:rFonts w:ascii="Sylfaen" w:hAnsi="Sylfaen" w:cs="Sylfaen"/>
          <w:bCs/>
          <w:lang w:val="ka-GE"/>
        </w:rPr>
        <w:t>ბ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lang w:val="ka-GE"/>
        </w:rPr>
        <w:t xml:space="preserve">“ </w:t>
      </w:r>
      <w:r w:rsidR="006B3614" w:rsidRPr="00D06E33">
        <w:rPr>
          <w:rFonts w:ascii="Sylfaen" w:hAnsi="Sylfaen" w:cs="Sylfaen"/>
          <w:bCs/>
          <w:lang w:val="ka-GE"/>
        </w:rPr>
        <w:t>ქვეპუნქტით ნაკისრი ვალდებულებების შესრულების მიზნით, არანაკლებ 6 000 000 (ექვსი მილიონი) ლარის ინვესტიციის განხორციელება.</w:t>
      </w:r>
      <w:r w:rsidR="00D06E33">
        <w:rPr>
          <w:rFonts w:ascii="Sylfaen" w:hAnsi="Sylfaen" w:cs="Sylfaen"/>
          <w:bCs/>
        </w:rPr>
        <w:t>”.</w:t>
      </w:r>
    </w:p>
    <w:p w14:paraId="52208562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36D1C743" w14:textId="46E2880C" w:rsidR="006B3614" w:rsidRPr="00D06E33" w:rsidRDefault="006B3614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3.1.3 ქვეპუნქტში შევიდეს ცვლილება და ჩამოყალიბდეს შემდეგი რედაქციით:</w:t>
      </w:r>
    </w:p>
    <w:p w14:paraId="28D63759" w14:textId="77777777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„3.1.3 უზრუნველყოს „ქონებისთვის“ და „ბ“ პუნქტით განსაზღვრულ ოთხი საცხოვრისისთვის (სამედიცინო პროფილის შენარჩუნება:</w:t>
      </w:r>
    </w:p>
    <w:p w14:paraId="68434A30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3D161B49" w14:textId="77777777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ა)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788206F9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1421A414" w14:textId="3A2BFBA8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</w:rPr>
      </w:pPr>
      <w:r w:rsidRPr="00D06E33">
        <w:rPr>
          <w:rFonts w:ascii="Sylfaen" w:hAnsi="Sylfaen" w:cs="Sylfaen"/>
          <w:bCs/>
          <w:lang w:val="ka-GE"/>
        </w:rPr>
        <w:t xml:space="preserve">ბ) „ბ“ პუნქტით განსაზღვრულ ოთხი საცხოვრისისთვის, შესაბამისი შენობა-ნაგებობების შექმნიდან, მისი არსებობის ვადით, მაგრამ არანაკლებ </w:t>
      </w:r>
      <w:r w:rsidR="00A62929" w:rsidRPr="00D06E33">
        <w:rPr>
          <w:rFonts w:ascii="Sylfaen" w:hAnsi="Sylfaen" w:cs="Sylfaen"/>
          <w:bCs/>
          <w:lang w:val="ka-GE"/>
        </w:rPr>
        <w:t xml:space="preserve">ამ შენობა-ნაგებობების შექმნიდან  </w:t>
      </w:r>
      <w:r w:rsidRPr="00D06E33">
        <w:rPr>
          <w:rFonts w:ascii="Sylfaen" w:hAnsi="Sylfaen" w:cs="Sylfaen"/>
          <w:bCs/>
          <w:lang w:val="ka-GE"/>
        </w:rPr>
        <w:t>50 (ორმოცდაათი წლის</w:t>
      </w:r>
      <w:r w:rsidR="00AC3681"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</w:t>
      </w:r>
      <w:bookmarkStart w:id="1" w:name="_GoBack"/>
      <w:bookmarkEnd w:id="1"/>
      <w:r w:rsidRPr="00D06E33">
        <w:rPr>
          <w:rFonts w:ascii="Sylfaen" w:hAnsi="Sylfaen" w:cs="Sylfaen"/>
          <w:bCs/>
          <w:lang w:val="ka-GE"/>
        </w:rPr>
        <w:t>.</w:t>
      </w:r>
      <w:r w:rsidR="00D06E33">
        <w:rPr>
          <w:rFonts w:ascii="Sylfaen" w:hAnsi="Sylfaen" w:cs="Sylfaen"/>
          <w:bCs/>
        </w:rPr>
        <w:t>”.</w:t>
      </w:r>
    </w:p>
    <w:p w14:paraId="2F52821B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6C976608" w14:textId="3E53F33B" w:rsidR="006B3614" w:rsidRPr="00D06E33" w:rsidRDefault="006B3614" w:rsidP="00D06E33">
      <w:pPr>
        <w:spacing w:after="0"/>
        <w:jc w:val="both"/>
        <w:rPr>
          <w:rFonts w:ascii="Sylfaen" w:eastAsia="SimSu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ამასთან, 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D06E33">
        <w:rPr>
          <w:rFonts w:ascii="Sylfaen" w:hAnsi="Sylfaen" w:cs="Sylfaen"/>
          <w:bCs/>
          <w:lang w:val="ka-GE"/>
        </w:rPr>
        <w:t>ცენტრი</w:t>
      </w:r>
      <w:r w:rsidRPr="00D06E33">
        <w:rPr>
          <w:rFonts w:ascii="Sylfaen" w:hAnsi="Sylfaen" w:cs="Sylfaen"/>
          <w:bCs/>
          <w:lang w:val="ka-GE"/>
        </w:rPr>
        <w:t>“ (ს/კ №244969370</w:t>
      </w:r>
      <w:r w:rsidR="00BE1A9A" w:rsidRPr="00D06E33">
        <w:rPr>
          <w:rFonts w:ascii="Sylfaen" w:hAnsi="Sylfaen" w:cs="Sylfaen"/>
          <w:bCs/>
          <w:lang w:val="ka-GE"/>
        </w:rPr>
        <w:t>)</w:t>
      </w:r>
      <w:r w:rsidRPr="00D06E33">
        <w:rPr>
          <w:rFonts w:ascii="Sylfaen" w:hAnsi="Sylfaen" w:cs="Sylfaen"/>
          <w:bCs/>
          <w:lang w:val="ka-GE"/>
        </w:rPr>
        <w:t>)  სახელმწიფოს წილის შემცირებას.</w:t>
      </w:r>
    </w:p>
    <w:p w14:paraId="75C99169" w14:textId="77777777" w:rsidR="00090B5B" w:rsidRPr="00DF67AD" w:rsidRDefault="00090B5B" w:rsidP="00D06E33">
      <w:pPr>
        <w:widowControl w:val="0"/>
        <w:autoSpaceDE w:val="0"/>
        <w:autoSpaceDN w:val="0"/>
        <w:adjustRightInd w:val="0"/>
        <w:spacing w:after="0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FE4C7F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210A108F" w14:textId="77777777" w:rsidR="00FE4C7F" w:rsidRDefault="00FE4C7F" w:rsidP="00D06E33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14:paraId="32AE2DE9" w14:textId="1A29FE04" w:rsidR="00540E33" w:rsidRPr="005F2B49" w:rsidRDefault="00090B5B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ზაზა გრიგალაშვილი</w:t>
      </w:r>
    </w:p>
    <w:p w14:paraId="5F241384" w14:textId="5EAB196D" w:rsidR="00540E33" w:rsidRPr="005F2B49" w:rsidRDefault="00540E33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D06E33">
      <w:pPr>
        <w:spacing w:after="0"/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9-05-17T11:00:00Z" w:initials="KG">
    <w:p w14:paraId="5C90A215" w14:textId="263BDC60" w:rsidR="00987140" w:rsidRDefault="00987140">
      <w:pPr>
        <w:pStyle w:val="CommentText"/>
      </w:pP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sz w:val="22"/>
          <w:szCs w:val="22"/>
          <w:lang w:val="ka-GE"/>
        </w:rPr>
        <w:t>(აქ ჩაიწერება შესაბამისი ნაგებობების საჯარო რეესტრში რეგისტრაციის ნომრები)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>
    <w:nsid w:val="60DF20D8"/>
    <w:multiLevelType w:val="hybridMultilevel"/>
    <w:tmpl w:val="9DBA5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7062"/>
    <w:rsid w:val="00177EFA"/>
    <w:rsid w:val="0018405F"/>
    <w:rsid w:val="00184DA8"/>
    <w:rsid w:val="0018558A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35243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A28EA"/>
    <w:rsid w:val="00CE1685"/>
    <w:rsid w:val="00D06E33"/>
    <w:rsid w:val="00D25E2C"/>
    <w:rsid w:val="00D306AF"/>
    <w:rsid w:val="00D3599C"/>
    <w:rsid w:val="00D67CA9"/>
    <w:rsid w:val="00D72DAF"/>
    <w:rsid w:val="00DA5FA3"/>
    <w:rsid w:val="00DB313A"/>
    <w:rsid w:val="00DB4A95"/>
    <w:rsid w:val="00DC367B"/>
    <w:rsid w:val="00DD1430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A5DB7"/>
    <w:rsid w:val="00FB18D3"/>
    <w:rsid w:val="00FB1C7B"/>
    <w:rsid w:val="00FB36D6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878C-E7B0-4368-8EFB-5CB1795B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7</cp:revision>
  <cp:lastPrinted>2019-05-07T13:08:00Z</cp:lastPrinted>
  <dcterms:created xsi:type="dcterms:W3CDTF">2019-05-17T06:54:00Z</dcterms:created>
  <dcterms:modified xsi:type="dcterms:W3CDTF">2019-05-17T07:01:00Z</dcterms:modified>
</cp:coreProperties>
</file>